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607BC">
      <w:pPr>
        <w:spacing w:line="46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 w14:paraId="16AC5FE5">
      <w:pPr>
        <w:adjustRightInd w:val="0"/>
        <w:snapToGrid w:val="0"/>
        <w:spacing w:line="460" w:lineRule="exact"/>
        <w:jc w:val="left"/>
        <w:rPr>
          <w:rFonts w:ascii="宋体" w:hAnsi="宋体" w:eastAsia="宋体" w:cs="宋体"/>
          <w:sz w:val="24"/>
          <w:szCs w:val="28"/>
        </w:rPr>
      </w:pPr>
    </w:p>
    <w:p w14:paraId="22ACC91E">
      <w:pPr>
        <w:adjustRightInd w:val="0"/>
        <w:snapToGrid w:val="0"/>
        <w:spacing w:line="46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 w14:paraId="56B72413">
      <w:pPr>
        <w:adjustRightInd w:val="0"/>
        <w:snapToGrid w:val="0"/>
        <w:spacing w:line="46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</w:t>
      </w:r>
      <w:r>
        <w:rPr>
          <w:rFonts w:hint="eastAsia" w:ascii="宋体" w:hAnsi="宋体" w:eastAsia="宋体" w:cs="宋体"/>
          <w:sz w:val="24"/>
          <w:szCs w:val="24"/>
          <w:u w:val="single"/>
        </w:rPr>
        <w:t>惠州惠南恺民科技有限公司股权交易项目可行性研究报告编制服务</w:t>
      </w:r>
      <w:r>
        <w:rPr>
          <w:rFonts w:hint="eastAsia" w:ascii="宋体" w:hAnsi="宋体" w:eastAsia="宋体" w:cs="宋体"/>
          <w:sz w:val="24"/>
          <w:szCs w:val="28"/>
        </w:rPr>
        <w:t>》项目的报价，我公司已充分了解项目情况，现报价如下：</w:t>
      </w:r>
    </w:p>
    <w:p w14:paraId="50D782C9">
      <w:pPr>
        <w:adjustRightInd w:val="0"/>
        <w:snapToGrid w:val="0"/>
        <w:spacing w:line="46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tbl>
      <w:tblPr>
        <w:tblStyle w:val="2"/>
        <w:tblW w:w="493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97"/>
        <w:gridCol w:w="2367"/>
        <w:gridCol w:w="2586"/>
      </w:tblGrid>
      <w:tr w14:paraId="019C1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7" w:type="pct"/>
            <w:shd w:val="clear" w:color="auto" w:fill="auto"/>
            <w:vAlign w:val="center"/>
          </w:tcPr>
          <w:p w14:paraId="1838E034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B8A581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2115AED6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1221794B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本次报价</w:t>
            </w:r>
          </w:p>
        </w:tc>
      </w:tr>
      <w:tr w14:paraId="060D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567" w:type="pct"/>
            <w:shd w:val="clear" w:color="auto" w:fill="auto"/>
            <w:vAlign w:val="center"/>
          </w:tcPr>
          <w:p w14:paraId="4ED1EC7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65226CFC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惠州惠南恺民科技有限公司股权交易项目可行性研究报告编制服务</w:t>
            </w:r>
          </w:p>
        </w:tc>
        <w:tc>
          <w:tcPr>
            <w:tcW w:w="1408" w:type="pct"/>
            <w:shd w:val="clear" w:color="auto" w:fill="auto"/>
            <w:vAlign w:val="center"/>
          </w:tcPr>
          <w:p w14:paraId="48748CD4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5.83万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538" w:type="pct"/>
            <w:shd w:val="clear" w:color="auto" w:fill="auto"/>
            <w:vAlign w:val="center"/>
          </w:tcPr>
          <w:p w14:paraId="337D3808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14:paraId="42D51B14">
      <w:pPr>
        <w:adjustRightInd w:val="0"/>
        <w:snapToGrid w:val="0"/>
        <w:spacing w:line="460" w:lineRule="exact"/>
        <w:jc w:val="left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注：1.最高限价5.83万元，报价不得大于或等于5.83万元。未按规定范围报价的，为无效报价。</w:t>
      </w:r>
    </w:p>
    <w:p w14:paraId="5C3B5BFC">
      <w:pPr>
        <w:adjustRightInd w:val="0"/>
        <w:snapToGrid w:val="0"/>
        <w:spacing w:line="46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2.本项目报价已包含5名专家评审费。5名专家由采购单位按程序选取，专家评审费用由中选单位承担。</w:t>
      </w:r>
    </w:p>
    <w:p w14:paraId="1C16E15B">
      <w:pPr>
        <w:adjustRightInd w:val="0"/>
        <w:snapToGrid w:val="0"/>
        <w:spacing w:line="46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3.本项目采用总价包干的方式，包括但不限于基础资料收集、可行性研究报告编制、按评审意见修改、专家评审费及成果打印等为完成本项目所支出的所有费用、利润及税金等，采购单位不再支付其他任何费用。</w:t>
      </w:r>
      <w:bookmarkStart w:id="0" w:name="_GoBack"/>
      <w:bookmarkEnd w:id="0"/>
    </w:p>
    <w:p w14:paraId="4671C2C9">
      <w:pPr>
        <w:adjustRightInd w:val="0"/>
        <w:snapToGrid w:val="0"/>
        <w:spacing w:line="46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 w14:paraId="050CA72B">
      <w:pPr>
        <w:adjustRightInd w:val="0"/>
        <w:snapToGrid w:val="0"/>
        <w:spacing w:line="46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 w14:paraId="7A354293">
      <w:pPr>
        <w:adjustRightInd w:val="0"/>
        <w:snapToGrid w:val="0"/>
        <w:spacing w:line="46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 w14:paraId="4046B100">
      <w:pPr>
        <w:adjustRightInd w:val="0"/>
        <w:snapToGrid w:val="0"/>
        <w:spacing w:line="46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 w14:paraId="7E6D966C">
      <w:pPr>
        <w:adjustRightInd w:val="0"/>
        <w:snapToGrid w:val="0"/>
        <w:spacing w:line="46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72A68889">
      <w:pPr>
        <w:adjustRightInd w:val="0"/>
        <w:snapToGrid w:val="0"/>
        <w:spacing w:line="460" w:lineRule="exact"/>
        <w:jc w:val="left"/>
        <w:rPr>
          <w:rFonts w:ascii="宋体" w:hAnsi="宋体" w:eastAsia="宋体" w:cs="宋体"/>
          <w:sz w:val="22"/>
          <w:szCs w:val="21"/>
        </w:rPr>
      </w:pPr>
    </w:p>
    <w:p w14:paraId="6DB94FAD">
      <w:pPr>
        <w:adjustRightInd w:val="0"/>
        <w:snapToGrid w:val="0"/>
        <w:spacing w:line="46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 w14:paraId="20FA3442">
      <w:pPr>
        <w:adjustRightInd w:val="0"/>
        <w:snapToGrid w:val="0"/>
        <w:spacing w:line="46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 w14:paraId="7FE28C3B">
      <w:pPr>
        <w:spacing w:line="460" w:lineRule="exact"/>
        <w:rPr>
          <w:rFonts w:ascii="宋体" w:hAnsi="宋体" w:eastAsia="宋体" w:cs="宋体"/>
          <w:sz w:val="22"/>
          <w:szCs w:val="21"/>
        </w:rPr>
      </w:pPr>
    </w:p>
    <w:p w14:paraId="78358E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3566"/>
    <w:rsid w:val="2EDB1773"/>
    <w:rsid w:val="749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353</Characters>
  <Lines>0</Lines>
  <Paragraphs>0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2025-04-02T09:21:00Z</dcterms:created>
  <dc:creator>林漫婷</dc:creator>
  <cp:lastModifiedBy>林漫婷</cp:lastModifiedBy>
  <dcterms:modified xsi:type="dcterms:W3CDTF">2025-04-02T09:28:12Z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6DE7631BC3B24568994A0445D86A255B_11</vt:lpwstr>
  </property>
  <property fmtid="{D5CDD505-2E9C-101B-9397-08002B2CF9AE}" pid="4" name="KSOTemplateDocerSaveRecord">
    <vt:lpwstr>eyJoZGlkIjoiZWVlM2EzZGQ2ZThjYmFkYmQ3NGY5MzY3YTMyNmVlOTAiLCJ1c2VySWQiOiIyNzk4NjQzODYifQ==</vt:lpwstr>
  </property>
</Properties>
</file>