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</w:rPr>
        <w:t>项目报价函</w:t>
      </w:r>
    </w:p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  <w:szCs w:val="28"/>
        </w:rPr>
      </w:pPr>
    </w:p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致：</w:t>
      </w:r>
      <w:r>
        <w:rPr>
          <w:rFonts w:hint="eastAsia" w:ascii="宋体" w:hAnsi="宋体"/>
          <w:sz w:val="24"/>
          <w:szCs w:val="24"/>
        </w:rPr>
        <w:t>惠州市惠南产城发展有限公司</w:t>
      </w:r>
    </w:p>
    <w:p>
      <w:pPr>
        <w:adjustRightInd w:val="0"/>
        <w:snapToGrid w:val="0"/>
        <w:spacing w:line="400" w:lineRule="exact"/>
        <w:ind w:firstLine="630"/>
        <w:jc w:val="lef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非常荣幸参与《</w:t>
      </w:r>
      <w:r>
        <w:rPr>
          <w:rFonts w:hint="eastAsia" w:ascii="宋体" w:hAnsi="宋体" w:eastAsia="宋体" w:cs="宋体"/>
          <w:sz w:val="24"/>
          <w:szCs w:val="24"/>
        </w:rPr>
        <w:t>惠创未来城基础设施建设项目二期工程（南区）预算编制服务</w:t>
      </w:r>
      <w:r>
        <w:rPr>
          <w:rFonts w:hint="eastAsia" w:ascii="宋体" w:hAnsi="宋体" w:eastAsia="宋体" w:cs="宋体"/>
          <w:sz w:val="24"/>
          <w:szCs w:val="28"/>
        </w:rPr>
        <w:t>》项目的报价，我公司已充分了解项目情况，现报价如下：</w:t>
      </w: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740"/>
        <w:gridCol w:w="1391"/>
        <w:gridCol w:w="3287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6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建安费估算</w:t>
            </w:r>
          </w:p>
        </w:tc>
        <w:tc>
          <w:tcPr>
            <w:tcW w:w="328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按《广东省物价局关于调整我省建设工程造价咨询服务收费的复函》(粤价函[2011]742号)计算</w:t>
            </w: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本次报价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6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74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惠创未来城基础设施建设项目二期工程（南区）预算编制服务</w:t>
            </w:r>
          </w:p>
        </w:tc>
        <w:tc>
          <w:tcPr>
            <w:tcW w:w="13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23753.02万元</w:t>
            </w:r>
          </w:p>
        </w:tc>
        <w:tc>
          <w:tcPr>
            <w:tcW w:w="32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47.51万元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（已下浮30%）</w:t>
            </w: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XX元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（下浮XX%）</w:t>
            </w:r>
          </w:p>
        </w:tc>
      </w:tr>
    </w:tbl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</w:rPr>
      </w:pPr>
    </w:p>
    <w:p>
      <w:pPr>
        <w:adjustRightInd w:val="0"/>
        <w:snapToGrid w:val="0"/>
        <w:spacing w:line="460" w:lineRule="exact"/>
        <w:jc w:val="left"/>
        <w:rPr>
          <w:rFonts w:ascii="仿宋_GB2312" w:eastAsia="仿宋_GB2312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hint="eastAsia" w:ascii="仿宋_GB2312" w:eastAsia="仿宋_GB2312"/>
          <w:sz w:val="24"/>
        </w:rPr>
        <w:t>注：1.本项目根据《广东省物价局关于调整我省建设工程造价咨询服务收费的复函》(粤价函[2011]742号)进行报价，报价包括工程</w:t>
      </w:r>
      <w:r>
        <w:rPr>
          <w:rFonts w:hint="eastAsia" w:ascii="仿宋_GB2312" w:eastAsia="仿宋_GB2312"/>
          <w:sz w:val="24"/>
          <w:highlight w:val="none"/>
        </w:rPr>
        <w:t>预算、工程勘察结算编制费</w:t>
      </w:r>
      <w:r>
        <w:rPr>
          <w:rFonts w:hint="eastAsia" w:ascii="仿宋_GB2312" w:eastAsia="仿宋_GB2312"/>
          <w:sz w:val="24"/>
        </w:rPr>
        <w:t>。报价大于（含）最高限价的，为无效报价。</w:t>
      </w:r>
    </w:p>
    <w:p>
      <w:pPr>
        <w:adjustRightInd w:val="0"/>
        <w:snapToGrid w:val="0"/>
        <w:spacing w:line="460" w:lineRule="exac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2.本项目采用下浮率计价形式进行报价，包括但不限于基础资料收集、预算书编制、成果文件打印及与审核单位（部门）沟通协调等为完成本项目服务内容所支出的所有费用、利润及税金等。</w:t>
      </w:r>
    </w:p>
    <w:p>
      <w:pPr>
        <w:numPr>
          <w:ilvl w:val="255"/>
          <w:numId w:val="0"/>
        </w:numPr>
        <w:adjustRightInd w:val="0"/>
        <w:snapToGrid w:val="0"/>
        <w:spacing w:line="46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仿宋_GB2312" w:eastAsia="仿宋_GB2312"/>
          <w:sz w:val="24"/>
        </w:rPr>
        <w:t>3.结算时以审定的工程预算价为计费基数，参照《广东省物价局关于调整我省建设工程造价咨询服务收费的复函》（粤价函〔2011〕742号）及中选下浮率计算作为结算价，且结算价不超过报价。</w:t>
      </w:r>
    </w:p>
    <w:p>
      <w:pPr>
        <w:adjustRightInd w:val="0"/>
        <w:snapToGrid w:val="0"/>
        <w:spacing w:line="400" w:lineRule="exact"/>
        <w:ind w:right="1281"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400" w:lineRule="exact"/>
        <w:ind w:right="1281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</w:p>
    <w:p>
      <w:pPr>
        <w:adjustRightInd w:val="0"/>
        <w:snapToGrid w:val="0"/>
        <w:spacing w:line="400" w:lineRule="exact"/>
        <w:ind w:right="1281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</w:p>
    <w:p>
      <w:pPr>
        <w:adjustRightInd w:val="0"/>
        <w:snapToGrid w:val="0"/>
        <w:spacing w:line="400" w:lineRule="exact"/>
        <w:ind w:right="1281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</w:p>
    <w:p>
      <w:pPr>
        <w:adjustRightInd w:val="0"/>
        <w:snapToGrid w:val="0"/>
        <w:spacing w:line="400" w:lineRule="exact"/>
        <w:ind w:right="1281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邮箱：</w:t>
      </w:r>
    </w:p>
    <w:p>
      <w:pPr>
        <w:adjustRightInd w:val="0"/>
        <w:snapToGrid w:val="0"/>
        <w:spacing w:line="400" w:lineRule="exact"/>
        <w:ind w:right="1281"/>
        <w:rPr>
          <w:rFonts w:ascii="宋体" w:hAnsi="宋体" w:eastAsia="宋体" w:cs="宋体"/>
          <w:sz w:val="24"/>
        </w:rPr>
      </w:pPr>
    </w:p>
    <w:p>
      <w:pPr>
        <w:adjustRightInd w:val="0"/>
        <w:snapToGrid w:val="0"/>
        <w:spacing w:line="400" w:lineRule="exact"/>
        <w:ind w:right="1281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报价人（盖章）：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日期：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ODU2NGFkMWUyYmU2YzQ5ZDViODczYjQyMDRlY2MifQ=="/>
  </w:docVars>
  <w:rsids>
    <w:rsidRoot w:val="73725D94"/>
    <w:rsid w:val="7372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仲恺高新技术开发区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2024-04-26T01:12:00Z</dcterms:created>
  <dc:creator>林漫婷</dc:creator>
  <cp:lastModifiedBy>林漫婷</cp:lastModifiedBy>
  <dcterms:modified xsi:type="dcterms:W3CDTF">2024-04-26T01:12:49Z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3E61B9EEC1834CC3BF9FEAA43D798979_11</vt:lpwstr>
  </property>
</Properties>
</file>