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eastAsia="宋体" w:cs="宋体"/>
          <w:b/>
          <w:sz w:val="40"/>
          <w:szCs w:val="40"/>
        </w:rPr>
      </w:pPr>
      <w:r>
        <w:rPr>
          <w:rFonts w:hint="eastAsia" w:ascii="宋体" w:hAnsi="宋体" w:eastAsia="宋体" w:cs="宋体"/>
          <w:b/>
          <w:sz w:val="40"/>
          <w:szCs w:val="40"/>
        </w:rPr>
        <w:t>项目报价函</w:t>
      </w:r>
    </w:p>
    <w:p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4"/>
          <w:szCs w:val="28"/>
        </w:rPr>
      </w:pPr>
    </w:p>
    <w:p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致：</w:t>
      </w:r>
      <w:r>
        <w:rPr>
          <w:rFonts w:hint="eastAsia" w:ascii="宋体" w:hAnsi="宋体"/>
          <w:sz w:val="24"/>
          <w:szCs w:val="24"/>
        </w:rPr>
        <w:t>惠州市惠南产城发展有限公司</w:t>
      </w:r>
    </w:p>
    <w:p>
      <w:pPr>
        <w:adjustRightInd w:val="0"/>
        <w:snapToGrid w:val="0"/>
        <w:spacing w:line="400" w:lineRule="exact"/>
        <w:ind w:firstLine="630"/>
        <w:jc w:val="left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非常荣幸参与《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惠创未来城基础设施建设项目二期工程（南区）施工图设计文件审查服务</w:t>
      </w:r>
      <w:r>
        <w:rPr>
          <w:rFonts w:hint="eastAsia" w:ascii="宋体" w:hAnsi="宋体" w:eastAsia="宋体" w:cs="宋体"/>
          <w:sz w:val="24"/>
          <w:szCs w:val="28"/>
        </w:rPr>
        <w:t>》项目的报价，我公司已充分了解项目情况，现报价如下：</w:t>
      </w:r>
    </w:p>
    <w:p>
      <w:pPr>
        <w:adjustRightInd w:val="0"/>
        <w:snapToGrid w:val="0"/>
        <w:spacing w:line="400" w:lineRule="exact"/>
        <w:ind w:firstLine="630"/>
        <w:jc w:val="left"/>
        <w:rPr>
          <w:rFonts w:hint="eastAsia" w:ascii="宋体" w:hAnsi="宋体" w:eastAsia="宋体" w:cs="宋体"/>
          <w:sz w:val="24"/>
          <w:szCs w:val="28"/>
        </w:rPr>
      </w:pPr>
    </w:p>
    <w:tbl>
      <w:tblPr>
        <w:tblStyle w:val="3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740"/>
        <w:gridCol w:w="1391"/>
        <w:gridCol w:w="3287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6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建安费估算</w:t>
            </w:r>
          </w:p>
        </w:tc>
        <w:tc>
          <w:tcPr>
            <w:tcW w:w="328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按《关于降低部分建设项目收费标准规范收费行为等有关问题的通知》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发改价格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[2011]534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计算</w:t>
            </w: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本次报价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6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74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惠创未来城基础设施建设项目二期工程（南区）施工图设计文件审查服务</w:t>
            </w:r>
          </w:p>
        </w:tc>
        <w:tc>
          <w:tcPr>
            <w:tcW w:w="13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23753.02 万元</w:t>
            </w:r>
          </w:p>
        </w:tc>
        <w:tc>
          <w:tcPr>
            <w:tcW w:w="32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234989.52元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（已下浮25%）</w:t>
            </w: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元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（下浮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XX%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4"/>
        </w:rPr>
      </w:pP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注：1.本项目根据《关于降低部分建设项目收费标准规范收费行为等有关问题的通知》(发改价格[2011]534号)、《转发国家、省关于降低部分建设项目收费标准规范收费行为等有关问题的通知》（惠价〔2011〕122号）及市场调节价进行报价，报价大于（含）</w:t>
      </w:r>
      <w:r>
        <w:rPr>
          <w:rFonts w:hint="eastAsia" w:ascii="宋体" w:hAnsi="宋体" w:eastAsia="宋体" w:cs="宋体"/>
          <w:sz w:val="24"/>
          <w:lang w:eastAsia="zh-CN"/>
        </w:rPr>
        <w:t>最高限价的</w:t>
      </w:r>
      <w:r>
        <w:rPr>
          <w:rFonts w:hint="eastAsia" w:ascii="宋体" w:hAnsi="宋体" w:eastAsia="宋体" w:cs="宋体"/>
          <w:sz w:val="24"/>
        </w:rPr>
        <w:t>，为无效报价。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</w:rPr>
        <w:t>结算时以项目工程勘察设计费结算价的6.5%结合中选下浮率计算作为项目施工图设计文件审查费结算价，且结算价不超过报价</w:t>
      </w:r>
      <w:r>
        <w:rPr>
          <w:rFonts w:hint="eastAsia" w:ascii="宋体" w:hAnsi="宋体" w:eastAsia="宋体" w:cs="宋体"/>
          <w:sz w:val="24"/>
          <w:lang w:val="en-US" w:eastAsia="zh-CN"/>
        </w:rPr>
        <w:t>。</w:t>
      </w:r>
    </w:p>
    <w:p>
      <w:pPr>
        <w:numPr>
          <w:ilvl w:val="255"/>
          <w:numId w:val="0"/>
        </w:num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</w:p>
    <w:p>
      <w:pPr>
        <w:adjustRightInd w:val="0"/>
        <w:snapToGrid w:val="0"/>
        <w:spacing w:line="400" w:lineRule="exact"/>
        <w:ind w:right="1281"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400" w:lineRule="exact"/>
        <w:ind w:right="1281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</w:p>
    <w:p>
      <w:pPr>
        <w:adjustRightInd w:val="0"/>
        <w:snapToGrid w:val="0"/>
        <w:spacing w:line="400" w:lineRule="exact"/>
        <w:ind w:right="1281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</w:p>
    <w:p>
      <w:pPr>
        <w:adjustRightInd w:val="0"/>
        <w:snapToGrid w:val="0"/>
        <w:spacing w:line="400" w:lineRule="exact"/>
        <w:ind w:right="1281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</w:p>
    <w:p>
      <w:pPr>
        <w:adjustRightInd w:val="0"/>
        <w:snapToGrid w:val="0"/>
        <w:spacing w:line="400" w:lineRule="exact"/>
        <w:ind w:right="1281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邮箱：</w:t>
      </w:r>
    </w:p>
    <w:p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4"/>
        </w:rPr>
      </w:pPr>
    </w:p>
    <w:p>
      <w:pPr>
        <w:adjustRightInd w:val="0"/>
        <w:snapToGrid w:val="0"/>
        <w:spacing w:line="400" w:lineRule="exact"/>
        <w:ind w:right="1281"/>
        <w:jc w:val="right"/>
        <w:rPr>
          <w:rFonts w:ascii="宋体" w:hAnsi="宋体" w:eastAsia="宋体" w:cs="宋体"/>
          <w:sz w:val="24"/>
        </w:rPr>
      </w:pPr>
    </w:p>
    <w:p>
      <w:pPr>
        <w:adjustRightInd w:val="0"/>
        <w:snapToGrid w:val="0"/>
        <w:spacing w:line="400" w:lineRule="exact"/>
        <w:ind w:right="1281"/>
        <w:jc w:val="righ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报价人（盖章）：</w:t>
      </w:r>
    </w:p>
    <w:p>
      <w:pPr>
        <w:adjustRightInd w:val="0"/>
        <w:snapToGrid w:val="0"/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日期：   年  月  日</w:t>
      </w:r>
    </w:p>
    <w:p>
      <w:pPr>
        <w:spacing w:line="400" w:lineRule="exact"/>
        <w:rPr>
          <w:rFonts w:ascii="宋体" w:hAnsi="宋体" w:eastAsia="宋体" w:cs="宋体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ODU2NGFkMWUyYmU2YzQ5ZDViODczYjQyMDRlY2MifQ=="/>
  </w:docVars>
  <w:rsids>
    <w:rsidRoot w:val="77676809"/>
    <w:rsid w:val="7767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仲恺高新技术开发区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2024-04-11T06:29:00Z</dcterms:created>
  <dc:creator>林漫婷</dc:creator>
  <cp:lastModifiedBy>林漫婷</cp:lastModifiedBy>
  <dcterms:modified xsi:type="dcterms:W3CDTF">2024-04-11T06:30:11Z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E39727D0E4F445FB95AAFF9C7C52C743_11</vt:lpwstr>
  </property>
</Properties>
</file>