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/>
          <w:sz w:val="24"/>
          <w:szCs w:val="24"/>
        </w:rPr>
        <w:t>惠州仲恺新业发展有限公司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  <w:u w:val="single"/>
        </w:rPr>
        <w:t>惠创未来城基础设施建设项目增容800kVA临时用电工程</w:t>
      </w:r>
      <w:r>
        <w:rPr>
          <w:rFonts w:hint="eastAsia" w:ascii="宋体" w:hAnsi="宋体" w:eastAsia="宋体" w:cs="宋体"/>
          <w:sz w:val="24"/>
          <w:szCs w:val="28"/>
        </w:rPr>
        <w:t>》项目的施工报价，我公司已充分了解项目情况，现报价如下：</w:t>
      </w:r>
    </w:p>
    <w:tbl>
      <w:tblPr>
        <w:tblStyle w:val="2"/>
        <w:tblpPr w:leftFromText="180" w:rightFromText="180" w:vertAnchor="text" w:horzAnchor="page" w:tblpX="1811" w:tblpY="397"/>
        <w:tblOverlap w:val="never"/>
        <w:tblW w:w="5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391"/>
        <w:gridCol w:w="244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最高限价（元）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本次报价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惠创未来城基础设施建设项目增容800kVA临时用电工程</w:t>
            </w:r>
            <w:bookmarkEnd w:id="0"/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819434.28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XX（下浮XX%）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注：1.若报价大于（含）最高限价的，为无效报价。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2.最终以建设单位审定的结算书金额结合中标下浮率作为工程结算价，且结算价不超过本次报价。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D13E1"/>
    <w:rsid w:val="27DD13E1"/>
    <w:rsid w:val="399D4513"/>
    <w:rsid w:val="44D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2024-03-25T03:16:00Z</dcterms:created>
  <dc:creator>邹平萍</dc:creator>
  <cp:lastModifiedBy>kylincx</cp:lastModifiedBy>
  <dcterms:modified xsi:type="dcterms:W3CDTF">2024-03-25T03:27:17Z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42CC0A37A6C649F3BDAEBBB5226D08E8_13</vt:lpwstr>
  </property>
</Properties>
</file>