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致：惠州仲恺新业发展有限公司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非常荣幸参与《惠州仲恺新业发展有限公司2024年度零星维修工程》项目的报价，我公司已充分了解项目情况，现报价如下：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69"/>
        <w:gridCol w:w="2981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8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本次报价</w:t>
            </w:r>
          </w:p>
        </w:tc>
        <w:tc>
          <w:tcPr>
            <w:tcW w:w="109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48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64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惠州仲恺新业发展有限公司2024年度零星维修工程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下浮XX%</w:t>
            </w:r>
          </w:p>
        </w:tc>
        <w:tc>
          <w:tcPr>
            <w:tcW w:w="109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本项目以一个季度为一个结算周期；执行《建设工程工程量清单计价规范》（GB50500-2013）、《广东省房屋建筑与装饰工程综合定额（2018）》、《广东省通用安装工程综合定额（2018）》、《广东省园林绿化工程综合定额（2018）》；材料价格按询价时正在执行的《惠州工程造价信息》。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2.</w:t>
      </w:r>
      <w:r>
        <w:rPr>
          <w:rFonts w:hint="eastAsia"/>
        </w:rPr>
        <w:t>本项目</w:t>
      </w:r>
      <w:r>
        <w:rPr>
          <w:rFonts w:hint="eastAsia" w:ascii="宋体" w:hAnsi="宋体" w:eastAsia="宋体" w:cs="宋体"/>
          <w:sz w:val="22"/>
          <w:szCs w:val="21"/>
        </w:rPr>
        <w:t>以经审定的工程结算书金额结合中标下浮率进行调整作为结算价，且结算价不超过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1"/>
        </w:rPr>
        <w:t>万元（含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1"/>
        </w:rPr>
        <w:t>万元）。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657E587A"/>
    <w:rsid w:val="657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2024-03-01T02:45:00Z</dcterms:created>
  <dc:creator>林漫婷</dc:creator>
  <cp:lastModifiedBy>林漫婷</cp:lastModifiedBy>
  <dcterms:modified xsi:type="dcterms:W3CDTF">2024-03-01T02:45:52Z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CEBABA9AB5494A60AAF0F3CC56882981_11</vt:lpwstr>
  </property>
</Properties>
</file>